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оценка инвестиций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279369" w:rsidR="00A77598" w:rsidRPr="00D11515" w:rsidRDefault="00D1151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0E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EB7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8AA926" w:rsidR="004475DA" w:rsidRPr="00D11515" w:rsidRDefault="00D1151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BC8B0A" w14:textId="7E165EB6" w:rsidR="004C0EB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417124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_Toc210417124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3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492EDACB" w14:textId="6A43B729" w:rsidR="004C0EB7" w:rsidRDefault="00DB7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25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_Toc210417125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3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258C879F" w14:textId="251771D9" w:rsidR="004C0EB7" w:rsidRDefault="00DB7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26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_Toc210417126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3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1B3BAB7E" w14:textId="65482018" w:rsidR="004C0EB7" w:rsidRDefault="00DB7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27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_Toc210417127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4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5B2EB43F" w14:textId="4C9150B1" w:rsidR="004C0EB7" w:rsidRDefault="00DB7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28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_Toc210417128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5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29C5CCEC" w14:textId="4B71653E" w:rsidR="004C0EB7" w:rsidRDefault="00DB7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29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_Toc210417129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5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24535320" w14:textId="1D69E721" w:rsidR="004C0EB7" w:rsidRDefault="00DB7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30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_Toc210417130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6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2BA8C0DA" w14:textId="77970450" w:rsidR="004C0EB7" w:rsidRDefault="00DB7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31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_Toc210417131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6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03FB36F4" w14:textId="37A398C1" w:rsidR="004C0EB7" w:rsidRDefault="00DB7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32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_Toc210417132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7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5777D441" w14:textId="26D49D4F" w:rsidR="004C0EB7" w:rsidRDefault="00DB7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33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_Toc210417133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8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2B16A27F" w14:textId="110913B5" w:rsidR="004C0EB7" w:rsidRDefault="00DB7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34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_Toc210417134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9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1E64B6A9" w14:textId="2DBF01EC" w:rsidR="004C0EB7" w:rsidRDefault="00DB7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35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_Toc210417135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11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18C020AD" w14:textId="235AB3B6" w:rsidR="004C0EB7" w:rsidRDefault="00DB7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36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_Toc210417136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11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1DB257EE" w14:textId="28C22C5E" w:rsidR="004C0EB7" w:rsidRDefault="00DB7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37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_Toc210417137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11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5DE3F916" w14:textId="60FC54D4" w:rsidR="004C0EB7" w:rsidRDefault="00DB7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38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_Toc210417138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11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0DD7A09B" w14:textId="7C3F01A2" w:rsidR="004C0EB7" w:rsidRDefault="00DB7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39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_Toc210417139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11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24390518" w14:textId="2F5CE34E" w:rsidR="004C0EB7" w:rsidRDefault="00DB7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40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_Toc210417140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11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3A8538B2" w14:textId="6D426353" w:rsidR="004C0EB7" w:rsidRDefault="00DB7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141" w:history="1">
            <w:r w:rsidR="004C0EB7" w:rsidRPr="003E11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C0EB7">
              <w:rPr>
                <w:noProof/>
                <w:webHidden/>
              </w:rPr>
              <w:tab/>
            </w:r>
            <w:r w:rsidR="004C0EB7">
              <w:rPr>
                <w:noProof/>
                <w:webHidden/>
              </w:rPr>
              <w:fldChar w:fldCharType="begin"/>
            </w:r>
            <w:r w:rsidR="004C0EB7">
              <w:rPr>
                <w:noProof/>
                <w:webHidden/>
              </w:rPr>
              <w:instrText xml:space="preserve"> PAGEREF _Toc210417141 \h </w:instrText>
            </w:r>
            <w:r w:rsidR="004C0EB7">
              <w:rPr>
                <w:noProof/>
                <w:webHidden/>
              </w:rPr>
            </w:r>
            <w:r w:rsidR="004C0EB7">
              <w:rPr>
                <w:noProof/>
                <w:webHidden/>
              </w:rPr>
              <w:fldChar w:fldCharType="separate"/>
            </w:r>
            <w:r w:rsidR="004C0EB7">
              <w:rPr>
                <w:noProof/>
                <w:webHidden/>
              </w:rPr>
              <w:t>11</w:t>
            </w:r>
            <w:r w:rsidR="004C0EB7">
              <w:rPr>
                <w:noProof/>
                <w:webHidden/>
              </w:rPr>
              <w:fldChar w:fldCharType="end"/>
            </w:r>
          </w:hyperlink>
        </w:p>
        <w:p w14:paraId="0DD49713" w14:textId="03E05F8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417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навыков анализа, оценки и обоснования инвестиционных проектов в нефтегазовом комплексе. В ходе изучения дисциплины обучающиеся освоят методы расчета экономической эффективности инвестиций, оценку рисков и финансовой устойчивости проектов, а также научатся применять современные инструменты инвестиционного анализа. Особое внимание уделяется особенностям инвестиционной деятельности в нефтегазовой отрасли, включая специфику капитальных вложений, нормативно-правовое регулирование и факторы, влияющие на принятие инвестиционных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417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Экономическая оценка инвестиций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417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C0E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0E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0E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0E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0E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0E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0EB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C0E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0E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0E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</w:rPr>
              <w:t>ПК-3 - Способен формировать систему управления предприятием нефтегазовой отрасли, в т.ч. с применением цифровых технологии для решения задач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0E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0EB7">
              <w:rPr>
                <w:rFonts w:ascii="Times New Roman" w:hAnsi="Times New Roman" w:cs="Times New Roman"/>
                <w:lang w:bidi="ru-RU"/>
              </w:rPr>
              <w:t>ПК-3.2 - Учитывает структуру топливно-энергетического рынка, при принятии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0E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0EB7">
              <w:rPr>
                <w:rFonts w:ascii="Times New Roman" w:hAnsi="Times New Roman" w:cs="Times New Roman"/>
              </w:rPr>
              <w:t xml:space="preserve">Основные понятия и принципы инвестиционного анализа, методологию оценки эффективности инвестиционных проектов, включая дисконтирование денежных потоков, расчет </w:t>
            </w:r>
            <w:r w:rsidR="00316402" w:rsidRPr="004C0EB7">
              <w:rPr>
                <w:rFonts w:ascii="Times New Roman" w:hAnsi="Times New Roman" w:cs="Times New Roman"/>
                <w:lang w:val="en-US"/>
              </w:rPr>
              <w:t>NPV</w:t>
            </w:r>
            <w:r w:rsidR="00316402" w:rsidRPr="004C0EB7">
              <w:rPr>
                <w:rFonts w:ascii="Times New Roman" w:hAnsi="Times New Roman" w:cs="Times New Roman"/>
              </w:rPr>
              <w:t xml:space="preserve">, </w:t>
            </w:r>
            <w:r w:rsidR="00316402" w:rsidRPr="004C0EB7">
              <w:rPr>
                <w:rFonts w:ascii="Times New Roman" w:hAnsi="Times New Roman" w:cs="Times New Roman"/>
                <w:lang w:val="en-US"/>
              </w:rPr>
              <w:t>IRR</w:t>
            </w:r>
            <w:r w:rsidR="00316402" w:rsidRPr="004C0EB7">
              <w:rPr>
                <w:rFonts w:ascii="Times New Roman" w:hAnsi="Times New Roman" w:cs="Times New Roman"/>
              </w:rPr>
              <w:t xml:space="preserve">, </w:t>
            </w:r>
            <w:r w:rsidR="00316402" w:rsidRPr="004C0EB7">
              <w:rPr>
                <w:rFonts w:ascii="Times New Roman" w:hAnsi="Times New Roman" w:cs="Times New Roman"/>
                <w:lang w:val="en-US"/>
              </w:rPr>
              <w:t>PP</w:t>
            </w:r>
            <w:r w:rsidR="00316402" w:rsidRPr="004C0EB7">
              <w:rPr>
                <w:rFonts w:ascii="Times New Roman" w:hAnsi="Times New Roman" w:cs="Times New Roman"/>
              </w:rPr>
              <w:t xml:space="preserve"> и других показателей. Они должны понимать особенности инвестиционной деятельности в нефтегазовом секторе, включая риски, связанные с геологоразведкой, добычей и транспортировкой углеводородов. Также необходимо знать законодательные и налоговые аспекты инвестиций, международные стандарты оценки проектов и методы учета инфляции, валютных рисков и неопределенности при принятии инвестиционных решений.</w:t>
            </w:r>
            <w:r w:rsidRPr="004C0E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0E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0EB7">
              <w:rPr>
                <w:rFonts w:ascii="Times New Roman" w:hAnsi="Times New Roman" w:cs="Times New Roman"/>
              </w:rPr>
              <w:t>Проводить финансово-экономическую оценку инвестиционных проектов, рассчитывать ключевые показатели эффективности, анализировать денежные потоки и оценивать риски. Они должны уметь применять специализированное программное обеспечение (</w:t>
            </w:r>
            <w:r w:rsidR="00FD518F" w:rsidRPr="004C0EB7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4C0EB7">
              <w:rPr>
                <w:rFonts w:ascii="Times New Roman" w:hAnsi="Times New Roman" w:cs="Times New Roman"/>
              </w:rPr>
              <w:t xml:space="preserve">, </w:t>
            </w:r>
            <w:r w:rsidR="00FD518F" w:rsidRPr="004C0EB7">
              <w:rPr>
                <w:rFonts w:ascii="Times New Roman" w:hAnsi="Times New Roman" w:cs="Times New Roman"/>
                <w:lang w:val="en-US"/>
              </w:rPr>
              <w:t>Project</w:t>
            </w:r>
            <w:r w:rsidR="00FD518F" w:rsidRPr="004C0EB7">
              <w:rPr>
                <w:rFonts w:ascii="Times New Roman" w:hAnsi="Times New Roman" w:cs="Times New Roman"/>
              </w:rPr>
              <w:t xml:space="preserve"> </w:t>
            </w:r>
            <w:r w:rsidR="00FD518F" w:rsidRPr="004C0EB7">
              <w:rPr>
                <w:rFonts w:ascii="Times New Roman" w:hAnsi="Times New Roman" w:cs="Times New Roman"/>
                <w:lang w:val="en-US"/>
              </w:rPr>
              <w:t>Expert</w:t>
            </w:r>
            <w:r w:rsidR="00FD518F" w:rsidRPr="004C0EB7">
              <w:rPr>
                <w:rFonts w:ascii="Times New Roman" w:hAnsi="Times New Roman" w:cs="Times New Roman"/>
              </w:rPr>
              <w:t xml:space="preserve">, </w:t>
            </w:r>
            <w:r w:rsidR="00FD518F" w:rsidRPr="004C0EB7">
              <w:rPr>
                <w:rFonts w:ascii="Times New Roman" w:hAnsi="Times New Roman" w:cs="Times New Roman"/>
                <w:lang w:val="en-US"/>
              </w:rPr>
              <w:t>Alt</w:t>
            </w:r>
            <w:r w:rsidR="00FD518F" w:rsidRPr="004C0EB7">
              <w:rPr>
                <w:rFonts w:ascii="Times New Roman" w:hAnsi="Times New Roman" w:cs="Times New Roman"/>
              </w:rPr>
              <w:t>-</w:t>
            </w:r>
            <w:r w:rsidR="00FD518F" w:rsidRPr="004C0EB7">
              <w:rPr>
                <w:rFonts w:ascii="Times New Roman" w:hAnsi="Times New Roman" w:cs="Times New Roman"/>
                <w:lang w:val="en-US"/>
              </w:rPr>
              <w:t>Invest</w:t>
            </w:r>
            <w:r w:rsidR="00FD518F" w:rsidRPr="004C0EB7">
              <w:rPr>
                <w:rFonts w:ascii="Times New Roman" w:hAnsi="Times New Roman" w:cs="Times New Roman"/>
              </w:rPr>
              <w:t>) для моделирования инвестиционных сценариев. Важным навыком является умение интерпретировать результаты расчетов, обосновывать целесообразность реализации проектов и разрабатывать рекомендации по их оптимизации с учетом отраслевой специфики нефтегазового комплекса.</w:t>
            </w:r>
            <w:r w:rsidR="00FD518F" w:rsidRPr="004C0EB7">
              <w:rPr>
                <w:rFonts w:ascii="Times New Roman" w:hAnsi="Times New Roman" w:cs="Times New Roman"/>
              </w:rPr>
              <w:br/>
            </w:r>
            <w:r w:rsidRPr="004C0EB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C0E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0E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0EB7">
              <w:rPr>
                <w:rFonts w:ascii="Times New Roman" w:hAnsi="Times New Roman" w:cs="Times New Roman"/>
              </w:rPr>
              <w:t>Методами экономического анализа инвестиционных проектов, навыками финансового моделирования и прогнозирования. Они должны уметь применять полученные знания для принятия управленческих решений в области инвестирования, оценивать влияние внешних и внутренних факторов на эффективность проектов. Важным аспектом является владение навыками презентации и защиты инвестиционных предложений, а также умение работать с нормативной документацией и аналитическими отчетами в сфере экономики нефтегазового комплекса.</w:t>
            </w:r>
            <w:r w:rsidRPr="004C0EB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C0E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4171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инвестиционного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базовые понятия инвестиций, их классификация и роль в экономике нефтегазового комплекса. Изучаются принципы инвестиционного анализа, временная стоимость денег, виды денежных потоков. Особое внимание уделяется нормативно-правовой базе, регулирующей инвестиционную деятельность в РФ и за рубежом. Студенты знакомятся с основными этапами инвестиционного цикла и факторами, влияющими на принятие решений в нефтегазовой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463AC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0A27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оценки эффективности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DBF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Анализируются статические и динамические методы оценки инвестиций (NPV, IRR, PP, DPP, PI, ARR). Рассматриваются особенности их применения в нефтегазовых проектах с учетом длительных сроков окупаемости и высоких капитальных затрат. Изучаются критерии отбора проектов, сравнительный анализ методов и их ограничения. Практические занятия включают расчеты на реальных примерах месторождений и инфраструктурных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8E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FC48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78BC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F065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61BF3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D4A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рисков и неопределенности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2AF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виды инвестиционных рисков в нефтегазовом секторе: геологические, ценовые, политические, валютные. Рассматриваются методы качественного и количественного анализа рисков (чувствительность, сценарный анализ, имитационное моделирование). Особое внимание уделяется страхованию рисков, хеджированию и созданию резервов. Студенты учатся применять методы Монте-Карло и деревья решений для оценки проектов в условиях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E476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FB1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313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04A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2EEE58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74D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Финансирование инвестиционных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67A3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Анализируются источники финансирования: собственные средства, кредиты, облигации, проектное финансирование, государственно-частное партнерство. Рассматриваются особенности привлечения инвестиций в нефтегазовые проекты, включая соглашения о разделе продукции (СРП) и концессии. Изучаются требования банков и инвесторов, структура инвестиционных затрат и методы оптимизации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5EA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084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77E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FC1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14E8C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E8B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оценки проектов в нефтегазовой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799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Разбираются специфические факторы: циклы разработки месторождений, динамика цен на углеводороды, экологические и налоговые аспекты. Изучаются международные стандарты оценки запасов (PRMS, SEC). Рассматриваются кейсы реальных проектов, включая оценку шельфовых месторождений, строительство трубопроводов и СПГ-заводов.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9257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2458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937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41B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2BAD7B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6F31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Принятие инвестиционных решений и управление портфелем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C63E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методы оптимизации инвестиционного портфеля, стратегии диверсификации в нефтегазовой отрасли. Рассматриваются подходы к оценке синергетического эффекта при слияниях и поглощениях. Анализируются кейсы успешных и неудачных инвестиций в нефтегазовом секторе. Практикум включает разработку инвестиционной стратегии компании с учетом отраслевых трендов.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5E8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06E0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07B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265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4171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4171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1"/>
        <w:gridCol w:w="26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C0EB7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стратегия развития предприятий минерально-сырьевого комплекса : учебник / Е. Ю. Сидорова, Ю. Ю. Костюхин, Н. Н. Никулин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 Ю. Сидоровой. — Москва : КноРус, 2022. — 376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B7C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https://book.ru/book/944558</w:t>
              </w:r>
            </w:hyperlink>
          </w:p>
        </w:tc>
      </w:tr>
      <w:tr w:rsidR="00262CF0" w:rsidRPr="007E6725" w14:paraId="09F615C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6523AC" w14:textId="77777777" w:rsidR="00262CF0" w:rsidRPr="004C0E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0EB7">
              <w:rPr>
                <w:rFonts w:ascii="Times New Roman" w:hAnsi="Times New Roman" w:cs="Times New Roman"/>
                <w:sz w:val="24"/>
                <w:szCs w:val="24"/>
              </w:rPr>
              <w:t>Козеняшева, М. М., Транснациональный капитал в нефтегазовом комплексе РФ: эволюция, тенденции, перспективы : монография / М. М. Козеняшева. — Москва : Русайнс, 2020. —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1648DC" w14:textId="77777777" w:rsidR="00262CF0" w:rsidRPr="007E6725" w:rsidRDefault="00DB7C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https://book.ru/book/935096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101DBFD9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4171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6055AE27" w14:textId="77777777" w:rsidR="004C0EB7" w:rsidRPr="004C0EB7" w:rsidRDefault="004C0EB7" w:rsidP="004C0EB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C0EB7" w:rsidRPr="007E6725" w14:paraId="7C73F92A" w14:textId="77777777" w:rsidTr="00962ABE">
        <w:tc>
          <w:tcPr>
            <w:tcW w:w="9345" w:type="dxa"/>
          </w:tcPr>
          <w:p w14:paraId="6A849C7B" w14:textId="77777777" w:rsidR="004C0EB7" w:rsidRPr="007E6725" w:rsidRDefault="004C0EB7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C0EB7" w:rsidRPr="007E6725" w14:paraId="6B6E1D4E" w14:textId="77777777" w:rsidTr="00962ABE">
        <w:tc>
          <w:tcPr>
            <w:tcW w:w="9345" w:type="dxa"/>
          </w:tcPr>
          <w:p w14:paraId="082AC256" w14:textId="77777777" w:rsidR="004C0EB7" w:rsidRPr="007E6725" w:rsidRDefault="004C0EB7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4C0EB7" w:rsidRPr="007E6725" w14:paraId="6115031F" w14:textId="77777777" w:rsidTr="00962ABE">
        <w:tc>
          <w:tcPr>
            <w:tcW w:w="9345" w:type="dxa"/>
          </w:tcPr>
          <w:p w14:paraId="7A671EC9" w14:textId="77777777" w:rsidR="004C0EB7" w:rsidRPr="007E6725" w:rsidRDefault="004C0EB7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C0EB7" w:rsidRPr="007E6725" w14:paraId="07070690" w14:textId="77777777" w:rsidTr="00962ABE">
        <w:tc>
          <w:tcPr>
            <w:tcW w:w="9345" w:type="dxa"/>
          </w:tcPr>
          <w:p w14:paraId="7E25B112" w14:textId="77777777" w:rsidR="004C0EB7" w:rsidRPr="007E6725" w:rsidRDefault="004C0EB7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C0EB7" w:rsidRPr="007E6725" w14:paraId="3CF202D9" w14:textId="77777777" w:rsidTr="00962ABE">
        <w:tc>
          <w:tcPr>
            <w:tcW w:w="9345" w:type="dxa"/>
          </w:tcPr>
          <w:p w14:paraId="33938214" w14:textId="77777777" w:rsidR="004C0EB7" w:rsidRPr="007E6725" w:rsidRDefault="004C0EB7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4171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B7C8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417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C0EB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C0E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0EB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C0E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0EB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C0EB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C0E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0EB7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4C0EB7">
              <w:rPr>
                <w:sz w:val="22"/>
                <w:szCs w:val="22"/>
                <w:lang w:val="en-US"/>
              </w:rPr>
              <w:t>Intel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core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i</w:t>
            </w:r>
            <w:r w:rsidRPr="004C0EB7">
              <w:rPr>
                <w:sz w:val="22"/>
                <w:szCs w:val="22"/>
              </w:rPr>
              <w:t>5-</w:t>
            </w:r>
            <w:r w:rsidRPr="004C0EB7">
              <w:rPr>
                <w:sz w:val="22"/>
                <w:szCs w:val="22"/>
                <w:lang w:val="en-US"/>
              </w:rPr>
              <w:t>x</w:t>
            </w:r>
            <w:r w:rsidRPr="004C0EB7">
              <w:rPr>
                <w:sz w:val="22"/>
                <w:szCs w:val="22"/>
              </w:rPr>
              <w:t>4-4460/8</w:t>
            </w:r>
            <w:r w:rsidRPr="004C0EB7">
              <w:rPr>
                <w:sz w:val="22"/>
                <w:szCs w:val="22"/>
                <w:lang w:val="en-US"/>
              </w:rPr>
              <w:t>Gb</w:t>
            </w:r>
            <w:r w:rsidRPr="004C0EB7">
              <w:rPr>
                <w:sz w:val="22"/>
                <w:szCs w:val="22"/>
              </w:rPr>
              <w:t>/1Тб/</w:t>
            </w:r>
            <w:r w:rsidRPr="004C0EB7">
              <w:rPr>
                <w:sz w:val="22"/>
                <w:szCs w:val="22"/>
                <w:lang w:val="en-US"/>
              </w:rPr>
              <w:t>Samsung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s</w:t>
            </w:r>
            <w:r w:rsidRPr="004C0EB7">
              <w:rPr>
                <w:sz w:val="22"/>
                <w:szCs w:val="22"/>
              </w:rPr>
              <w:t>23</w:t>
            </w:r>
            <w:r w:rsidRPr="004C0EB7">
              <w:rPr>
                <w:sz w:val="22"/>
                <w:szCs w:val="22"/>
                <w:lang w:val="en-US"/>
              </w:rPr>
              <w:t>e</w:t>
            </w:r>
            <w:r w:rsidRPr="004C0EB7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4C0EB7">
              <w:rPr>
                <w:sz w:val="22"/>
                <w:szCs w:val="22"/>
                <w:lang w:val="en-US"/>
              </w:rPr>
              <w:t>Panasonic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PT</w:t>
            </w:r>
            <w:r w:rsidRPr="004C0EB7">
              <w:rPr>
                <w:sz w:val="22"/>
                <w:szCs w:val="22"/>
              </w:rPr>
              <w:t>-</w:t>
            </w:r>
            <w:r w:rsidRPr="004C0EB7">
              <w:rPr>
                <w:sz w:val="22"/>
                <w:szCs w:val="22"/>
                <w:lang w:val="en-US"/>
              </w:rPr>
              <w:t>VX</w:t>
            </w:r>
            <w:r w:rsidRPr="004C0EB7">
              <w:rPr>
                <w:sz w:val="22"/>
                <w:szCs w:val="22"/>
              </w:rPr>
              <w:t xml:space="preserve">610Е - 1 шт., Экран с электроприводом </w:t>
            </w:r>
            <w:r w:rsidRPr="004C0EB7">
              <w:rPr>
                <w:sz w:val="22"/>
                <w:szCs w:val="22"/>
                <w:lang w:val="en-US"/>
              </w:rPr>
              <w:t>ScreenMedia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Champion</w:t>
            </w:r>
            <w:r w:rsidRPr="004C0EB7">
              <w:rPr>
                <w:sz w:val="22"/>
                <w:szCs w:val="22"/>
              </w:rPr>
              <w:t xml:space="preserve"> 244х183см </w:t>
            </w:r>
            <w:r w:rsidRPr="004C0EB7">
              <w:rPr>
                <w:sz w:val="22"/>
                <w:szCs w:val="22"/>
                <w:lang w:val="en-US"/>
              </w:rPr>
              <w:t>SCM</w:t>
            </w:r>
            <w:r w:rsidRPr="004C0EB7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C0E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0E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0EB7" w14:paraId="30390C94" w14:textId="77777777" w:rsidTr="008416EB">
        <w:tc>
          <w:tcPr>
            <w:tcW w:w="7797" w:type="dxa"/>
            <w:shd w:val="clear" w:color="auto" w:fill="auto"/>
          </w:tcPr>
          <w:p w14:paraId="4B0FF90F" w14:textId="77777777" w:rsidR="002C735C" w:rsidRPr="004C0E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0EB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4C0EB7">
              <w:rPr>
                <w:sz w:val="22"/>
                <w:szCs w:val="22"/>
                <w:lang w:val="en-US"/>
              </w:rPr>
              <w:t>Intel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I</w:t>
            </w:r>
            <w:r w:rsidRPr="004C0EB7">
              <w:rPr>
                <w:sz w:val="22"/>
                <w:szCs w:val="22"/>
              </w:rPr>
              <w:t>5-7400/16</w:t>
            </w:r>
            <w:r w:rsidRPr="004C0EB7">
              <w:rPr>
                <w:sz w:val="22"/>
                <w:szCs w:val="22"/>
                <w:lang w:val="en-US"/>
              </w:rPr>
              <w:t>Gb</w:t>
            </w:r>
            <w:r w:rsidRPr="004C0EB7">
              <w:rPr>
                <w:sz w:val="22"/>
                <w:szCs w:val="22"/>
              </w:rPr>
              <w:t>/1</w:t>
            </w:r>
            <w:r w:rsidRPr="004C0EB7">
              <w:rPr>
                <w:sz w:val="22"/>
                <w:szCs w:val="22"/>
                <w:lang w:val="en-US"/>
              </w:rPr>
              <w:t>Tb</w:t>
            </w:r>
            <w:r w:rsidRPr="004C0EB7">
              <w:rPr>
                <w:sz w:val="22"/>
                <w:szCs w:val="22"/>
              </w:rPr>
              <w:t xml:space="preserve">/ видеокарта </w:t>
            </w:r>
            <w:r w:rsidRPr="004C0EB7">
              <w:rPr>
                <w:sz w:val="22"/>
                <w:szCs w:val="22"/>
                <w:lang w:val="en-US"/>
              </w:rPr>
              <w:t>NVIDIA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GeForce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GT</w:t>
            </w:r>
            <w:r w:rsidRPr="004C0EB7">
              <w:rPr>
                <w:sz w:val="22"/>
                <w:szCs w:val="22"/>
              </w:rPr>
              <w:t xml:space="preserve"> 710/Монитор </w:t>
            </w:r>
            <w:r w:rsidRPr="004C0EB7">
              <w:rPr>
                <w:sz w:val="22"/>
                <w:szCs w:val="22"/>
                <w:lang w:val="en-US"/>
              </w:rPr>
              <w:t>DELL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S</w:t>
            </w:r>
            <w:r w:rsidRPr="004C0EB7">
              <w:rPr>
                <w:sz w:val="22"/>
                <w:szCs w:val="22"/>
              </w:rPr>
              <w:t>2218</w:t>
            </w:r>
            <w:r w:rsidRPr="004C0EB7">
              <w:rPr>
                <w:sz w:val="22"/>
                <w:szCs w:val="22"/>
                <w:lang w:val="en-US"/>
              </w:rPr>
              <w:t>H</w:t>
            </w:r>
            <w:r w:rsidRPr="004C0EB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4C0EB7">
              <w:rPr>
                <w:sz w:val="22"/>
                <w:szCs w:val="22"/>
                <w:lang w:val="en-US"/>
              </w:rPr>
              <w:t>ProCurve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Switch</w:t>
            </w:r>
            <w:r w:rsidRPr="004C0EB7">
              <w:rPr>
                <w:sz w:val="22"/>
                <w:szCs w:val="22"/>
              </w:rPr>
              <w:t xml:space="preserve"> 2626 - 1 шт., Мультимедийный проектор </w:t>
            </w:r>
            <w:r w:rsidRPr="004C0EB7">
              <w:rPr>
                <w:sz w:val="22"/>
                <w:szCs w:val="22"/>
                <w:lang w:val="en-US"/>
              </w:rPr>
              <w:t>Optoma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x</w:t>
            </w:r>
            <w:r w:rsidRPr="004C0EB7">
              <w:rPr>
                <w:sz w:val="22"/>
                <w:szCs w:val="22"/>
              </w:rPr>
              <w:t xml:space="preserve"> 400 - 1 шт., Экран подпружинен.ручной </w:t>
            </w:r>
            <w:r w:rsidRPr="004C0EB7">
              <w:rPr>
                <w:sz w:val="22"/>
                <w:szCs w:val="22"/>
                <w:lang w:val="en-US"/>
              </w:rPr>
              <w:t>MW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Cinerollo</w:t>
            </w:r>
            <w:r w:rsidRPr="004C0EB7">
              <w:rPr>
                <w:sz w:val="22"/>
                <w:szCs w:val="22"/>
              </w:rPr>
              <w:t xml:space="preserve"> 200х200см (</w:t>
            </w:r>
            <w:r w:rsidRPr="004C0EB7">
              <w:rPr>
                <w:sz w:val="22"/>
                <w:szCs w:val="22"/>
                <w:lang w:val="en-US"/>
              </w:rPr>
              <w:t>S</w:t>
            </w:r>
            <w:r w:rsidRPr="004C0EB7">
              <w:rPr>
                <w:sz w:val="22"/>
                <w:szCs w:val="22"/>
              </w:rPr>
              <w:t>/</w:t>
            </w:r>
            <w:r w:rsidRPr="004C0EB7">
              <w:rPr>
                <w:sz w:val="22"/>
                <w:szCs w:val="22"/>
                <w:lang w:val="en-US"/>
              </w:rPr>
              <w:t>N</w:t>
            </w:r>
            <w:r w:rsidRPr="004C0EB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D298B4" w14:textId="77777777" w:rsidR="002C735C" w:rsidRPr="004C0E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0E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0EB7" w14:paraId="190F2F68" w14:textId="77777777" w:rsidTr="008416EB">
        <w:tc>
          <w:tcPr>
            <w:tcW w:w="7797" w:type="dxa"/>
            <w:shd w:val="clear" w:color="auto" w:fill="auto"/>
          </w:tcPr>
          <w:p w14:paraId="17A465C8" w14:textId="77777777" w:rsidR="002C735C" w:rsidRPr="004C0E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0EB7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4C0EB7">
              <w:rPr>
                <w:sz w:val="22"/>
                <w:szCs w:val="22"/>
                <w:lang w:val="en-US"/>
              </w:rPr>
              <w:t>Intel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i</w:t>
            </w:r>
            <w:r w:rsidRPr="004C0EB7">
              <w:rPr>
                <w:sz w:val="22"/>
                <w:szCs w:val="22"/>
              </w:rPr>
              <w:t xml:space="preserve">3-2100 2.4 </w:t>
            </w:r>
            <w:r w:rsidRPr="004C0EB7">
              <w:rPr>
                <w:sz w:val="22"/>
                <w:szCs w:val="22"/>
                <w:lang w:val="en-US"/>
              </w:rPr>
              <w:t>Ghz</w:t>
            </w:r>
            <w:r w:rsidRPr="004C0EB7">
              <w:rPr>
                <w:sz w:val="22"/>
                <w:szCs w:val="22"/>
              </w:rPr>
              <w:t>/500/4/</w:t>
            </w:r>
            <w:r w:rsidRPr="004C0EB7">
              <w:rPr>
                <w:sz w:val="22"/>
                <w:szCs w:val="22"/>
                <w:lang w:val="en-US"/>
              </w:rPr>
              <w:t>Acer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V</w:t>
            </w:r>
            <w:r w:rsidRPr="004C0EB7">
              <w:rPr>
                <w:sz w:val="22"/>
                <w:szCs w:val="22"/>
              </w:rPr>
              <w:t xml:space="preserve">193 19" - 1 шт., Акустическая система </w:t>
            </w:r>
            <w:r w:rsidRPr="004C0EB7">
              <w:rPr>
                <w:sz w:val="22"/>
                <w:szCs w:val="22"/>
                <w:lang w:val="en-US"/>
              </w:rPr>
              <w:t>JBL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CONTROL</w:t>
            </w:r>
            <w:r w:rsidRPr="004C0EB7">
              <w:rPr>
                <w:sz w:val="22"/>
                <w:szCs w:val="22"/>
              </w:rPr>
              <w:t xml:space="preserve"> 25 </w:t>
            </w:r>
            <w:r w:rsidRPr="004C0EB7">
              <w:rPr>
                <w:sz w:val="22"/>
                <w:szCs w:val="22"/>
                <w:lang w:val="en-US"/>
              </w:rPr>
              <w:t>WH</w:t>
            </w:r>
            <w:r w:rsidRPr="004C0EB7">
              <w:rPr>
                <w:sz w:val="22"/>
                <w:szCs w:val="22"/>
              </w:rPr>
              <w:t xml:space="preserve"> - 2 шт., Экран с электропривод. </w:t>
            </w:r>
            <w:r w:rsidRPr="004C0EB7">
              <w:rPr>
                <w:sz w:val="22"/>
                <w:szCs w:val="22"/>
                <w:lang w:val="en-US"/>
              </w:rPr>
              <w:t>DRAPER</w:t>
            </w:r>
            <w:r w:rsidRPr="004C0EB7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4C0EB7">
              <w:rPr>
                <w:sz w:val="22"/>
                <w:szCs w:val="22"/>
                <w:lang w:val="en-US"/>
              </w:rPr>
              <w:t>Panasonic</w:t>
            </w:r>
            <w:r w:rsidRPr="004C0EB7">
              <w:rPr>
                <w:sz w:val="22"/>
                <w:szCs w:val="22"/>
              </w:rPr>
              <w:t xml:space="preserve"> </w:t>
            </w:r>
            <w:r w:rsidRPr="004C0EB7">
              <w:rPr>
                <w:sz w:val="22"/>
                <w:szCs w:val="22"/>
                <w:lang w:val="en-US"/>
              </w:rPr>
              <w:t>PT</w:t>
            </w:r>
            <w:r w:rsidRPr="004C0EB7">
              <w:rPr>
                <w:sz w:val="22"/>
                <w:szCs w:val="22"/>
              </w:rPr>
              <w:t>-</w:t>
            </w:r>
            <w:r w:rsidRPr="004C0EB7">
              <w:rPr>
                <w:sz w:val="22"/>
                <w:szCs w:val="22"/>
                <w:lang w:val="en-US"/>
              </w:rPr>
              <w:t>VX</w:t>
            </w:r>
            <w:r w:rsidRPr="004C0EB7">
              <w:rPr>
                <w:sz w:val="22"/>
                <w:szCs w:val="22"/>
              </w:rPr>
              <w:t>610</w:t>
            </w:r>
            <w:r w:rsidRPr="004C0EB7">
              <w:rPr>
                <w:sz w:val="22"/>
                <w:szCs w:val="22"/>
                <w:lang w:val="en-US"/>
              </w:rPr>
              <w:t>E</w:t>
            </w:r>
            <w:r w:rsidRPr="004C0EB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E15F3C" w14:textId="77777777" w:rsidR="002C735C" w:rsidRPr="004C0E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0E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4171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417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417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4171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0EB7" w14:paraId="6F5FC6E1" w14:textId="77777777" w:rsidTr="004C0EB7">
        <w:tc>
          <w:tcPr>
            <w:tcW w:w="562" w:type="dxa"/>
          </w:tcPr>
          <w:p w14:paraId="576E660F" w14:textId="77777777" w:rsidR="004C0EB7" w:rsidRPr="00D11515" w:rsidRDefault="004C0E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14E2EA2" w14:textId="77777777" w:rsidR="004C0EB7" w:rsidRDefault="004C0E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4171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C0EB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0E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4171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C0EB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C0EB7" w14:paraId="5A1C9382" w14:textId="77777777" w:rsidTr="00801458">
        <w:tc>
          <w:tcPr>
            <w:tcW w:w="2336" w:type="dxa"/>
          </w:tcPr>
          <w:p w14:paraId="4C518DAB" w14:textId="77777777" w:rsidR="005D65A5" w:rsidRPr="004C0E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EB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C0E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EB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C0E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EB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C0E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E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C0EB7" w14:paraId="07658034" w14:textId="77777777" w:rsidTr="00801458">
        <w:tc>
          <w:tcPr>
            <w:tcW w:w="2336" w:type="dxa"/>
          </w:tcPr>
          <w:p w14:paraId="1553D698" w14:textId="78F29BFB" w:rsidR="005D65A5" w:rsidRPr="004C0E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C0EB7" w:rsidRDefault="007478E0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C0EB7" w:rsidRDefault="007478E0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C0EB7" w:rsidRDefault="007478E0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C0EB7" w14:paraId="266FC4E4" w14:textId="77777777" w:rsidTr="00801458">
        <w:tc>
          <w:tcPr>
            <w:tcW w:w="2336" w:type="dxa"/>
          </w:tcPr>
          <w:p w14:paraId="769A5B81" w14:textId="77777777" w:rsidR="005D65A5" w:rsidRPr="004C0E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B562F2" w14:textId="77777777" w:rsidR="005D65A5" w:rsidRPr="004C0EB7" w:rsidRDefault="007478E0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BA193CA" w14:textId="77777777" w:rsidR="005D65A5" w:rsidRPr="004C0EB7" w:rsidRDefault="007478E0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AF76DD" w14:textId="77777777" w:rsidR="005D65A5" w:rsidRPr="004C0EB7" w:rsidRDefault="007478E0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4C0EB7" w14:paraId="32049439" w14:textId="77777777" w:rsidTr="00801458">
        <w:tc>
          <w:tcPr>
            <w:tcW w:w="2336" w:type="dxa"/>
          </w:tcPr>
          <w:p w14:paraId="28E1390B" w14:textId="77777777" w:rsidR="005D65A5" w:rsidRPr="004C0E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562925" w14:textId="77777777" w:rsidR="005D65A5" w:rsidRPr="004C0EB7" w:rsidRDefault="007478E0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755B96" w14:textId="77777777" w:rsidR="005D65A5" w:rsidRPr="004C0EB7" w:rsidRDefault="007478E0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0477FF4" w14:textId="77777777" w:rsidR="005D65A5" w:rsidRPr="004C0EB7" w:rsidRDefault="007478E0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C0EB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C0EB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417139"/>
      <w:r w:rsidRPr="004C0EB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10CE45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0EB7" w14:paraId="31D17FA1" w14:textId="77777777" w:rsidTr="004C0EB7">
        <w:tc>
          <w:tcPr>
            <w:tcW w:w="562" w:type="dxa"/>
          </w:tcPr>
          <w:p w14:paraId="22728702" w14:textId="77777777" w:rsidR="004C0EB7" w:rsidRDefault="004C0E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B21B64" w14:textId="77777777" w:rsidR="004C0EB7" w:rsidRDefault="004C0E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A0E048" w14:textId="77777777" w:rsidR="004C0EB7" w:rsidRPr="004C0EB7" w:rsidRDefault="004C0EB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C0EB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417140"/>
      <w:r w:rsidRPr="004C0EB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C0EB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C0EB7" w14:paraId="0267C479" w14:textId="77777777" w:rsidTr="00801458">
        <w:tc>
          <w:tcPr>
            <w:tcW w:w="2500" w:type="pct"/>
          </w:tcPr>
          <w:p w14:paraId="37F699C9" w14:textId="77777777" w:rsidR="00B8237E" w:rsidRPr="004C0E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EB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C0E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E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C0EB7" w14:paraId="3F240151" w14:textId="77777777" w:rsidTr="00801458">
        <w:tc>
          <w:tcPr>
            <w:tcW w:w="2500" w:type="pct"/>
          </w:tcPr>
          <w:p w14:paraId="61E91592" w14:textId="61A0874C" w:rsidR="00B8237E" w:rsidRPr="004C0EB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4C0EB7" w:rsidRDefault="005C548A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C0EB7" w14:paraId="68014953" w14:textId="77777777" w:rsidTr="00801458">
        <w:tc>
          <w:tcPr>
            <w:tcW w:w="2500" w:type="pct"/>
          </w:tcPr>
          <w:p w14:paraId="74B72DB7" w14:textId="77777777" w:rsidR="00B8237E" w:rsidRPr="004C0EB7" w:rsidRDefault="00B8237E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261AB9C" w14:textId="77777777" w:rsidR="00B8237E" w:rsidRPr="004C0EB7" w:rsidRDefault="005C548A" w:rsidP="00801458">
            <w:pPr>
              <w:rPr>
                <w:rFonts w:ascii="Times New Roman" w:hAnsi="Times New Roman" w:cs="Times New Roman"/>
              </w:rPr>
            </w:pPr>
            <w:r w:rsidRPr="004C0E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C0EB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C0EB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417141"/>
      <w:r w:rsidRPr="004C0E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C0EB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C0EB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C0EB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0EB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C0E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C0EB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4C0EB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0EB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4C0E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4C0EB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0EB7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</w:t>
      </w:r>
      <w:r w:rsidRPr="00142518">
        <w:rPr>
          <w:rFonts w:ascii="Times New Roman" w:hAnsi="Times New Roman"/>
          <w:sz w:val="28"/>
          <w:szCs w:val="28"/>
        </w:rPr>
        <w:t>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F5755" w14:textId="77777777" w:rsidR="00DB7C8C" w:rsidRDefault="00DB7C8C" w:rsidP="00315CA6">
      <w:pPr>
        <w:spacing w:after="0" w:line="240" w:lineRule="auto"/>
      </w:pPr>
      <w:r>
        <w:separator/>
      </w:r>
    </w:p>
  </w:endnote>
  <w:endnote w:type="continuationSeparator" w:id="0">
    <w:p w14:paraId="613AF48C" w14:textId="77777777" w:rsidR="00DB7C8C" w:rsidRDefault="00DB7C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DE460D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51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AAAB1" w14:textId="77777777" w:rsidR="00DB7C8C" w:rsidRDefault="00DB7C8C" w:rsidP="00315CA6">
      <w:pPr>
        <w:spacing w:after="0" w:line="240" w:lineRule="auto"/>
      </w:pPr>
      <w:r>
        <w:separator/>
      </w:r>
    </w:p>
  </w:footnote>
  <w:footnote w:type="continuationSeparator" w:id="0">
    <w:p w14:paraId="681305E2" w14:textId="77777777" w:rsidR="00DB7C8C" w:rsidRDefault="00DB7C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0EB7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5E8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515"/>
    <w:rsid w:val="00D33437"/>
    <w:rsid w:val="00D33C83"/>
    <w:rsid w:val="00D373B6"/>
    <w:rsid w:val="00D40EAD"/>
    <w:rsid w:val="00D56558"/>
    <w:rsid w:val="00D75436"/>
    <w:rsid w:val="00D8262E"/>
    <w:rsid w:val="00D8722E"/>
    <w:rsid w:val="00DB7C8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3509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455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D22756-36CA-417B-B26E-478910243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3152</Words>
  <Characters>17972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